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Times New Roman" w:hAnsi="Times New Roman" w:eastAsia="黑体" w:cs="Times New Roman"/>
          <w:snapToGrid w:val="0"/>
          <w:color w:val="000000"/>
          <w:kern w:val="0"/>
          <w:sz w:val="32"/>
          <w:szCs w:val="32"/>
          <w:lang w:val="en-US" w:eastAsia="zh-CN"/>
        </w:rPr>
      </w:pPr>
      <w:r>
        <w:rPr>
          <w:rFonts w:hint="default" w:ascii="Times New Roman" w:hAnsi="Times New Roman" w:eastAsia="黑体" w:cs="Times New Roman"/>
          <w:snapToGrid w:val="0"/>
          <w:color w:val="000000"/>
          <w:kern w:val="0"/>
          <w:sz w:val="32"/>
          <w:szCs w:val="32"/>
          <w:lang w:val="en-US" w:eastAsia="zh-CN"/>
        </w:rPr>
        <w:t>附件</w:t>
      </w:r>
      <w:r>
        <w:rPr>
          <w:rFonts w:hint="eastAsia" w:ascii="Times New Roman" w:hAnsi="Times New Roman" w:eastAsia="黑体" w:cs="Times New Roman"/>
          <w:snapToGrid w:val="0"/>
          <w:color w:val="000000"/>
          <w:kern w:val="0"/>
          <w:sz w:val="32"/>
          <w:szCs w:val="32"/>
          <w:lang w:val="en-US" w:eastAsia="zh-CN"/>
        </w:rPr>
        <w:t>1</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napToGrid w:val="0"/>
          <w:color w:val="000000"/>
          <w:kern w:val="0"/>
          <w:sz w:val="44"/>
          <w:szCs w:val="44"/>
          <w:lang w:val="en-US" w:eastAsia="zh-CN"/>
        </w:rPr>
      </w:pPr>
      <w:bookmarkStart w:id="0" w:name="_GoBack"/>
      <w:r>
        <w:rPr>
          <w:rFonts w:hint="eastAsia" w:ascii="方正小标宋简体" w:hAnsi="方正小标宋简体" w:eastAsia="方正小标宋简体" w:cs="方正小标宋简体"/>
          <w:snapToGrid w:val="0"/>
          <w:color w:val="000000"/>
          <w:kern w:val="0"/>
          <w:sz w:val="44"/>
          <w:szCs w:val="44"/>
          <w:lang w:val="en-US" w:eastAsia="zh-CN"/>
        </w:rPr>
        <w:t>服务贸易主要指标解释</w:t>
      </w:r>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snapToGrid w:val="0"/>
          <w:color w:val="000000"/>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eastAsia" w:ascii="黑体" w:hAnsi="黑体" w:eastAsia="黑体" w:cs="黑体"/>
          <w:b w:val="0"/>
          <w:bCs w:val="0"/>
          <w:snapToGrid w:val="0"/>
          <w:color w:val="000000"/>
          <w:kern w:val="0"/>
          <w:sz w:val="32"/>
          <w:szCs w:val="32"/>
          <w:lang w:val="en-US" w:eastAsia="zh-CN"/>
        </w:rPr>
        <w:t>1.运输</w:t>
      </w:r>
      <w:r>
        <w:rPr>
          <w:rFonts w:hint="eastAsia" w:ascii="黑体" w:hAnsi="黑体" w:eastAsia="黑体" w:cs="黑体"/>
          <w:snapToGrid w:val="0"/>
          <w:color w:val="000000"/>
          <w:kern w:val="0"/>
          <w:sz w:val="32"/>
          <w:szCs w:val="32"/>
          <w:lang w:val="en-US" w:eastAsia="zh-CN"/>
        </w:rPr>
        <w:t xml:space="preserve"> </w:t>
      </w:r>
      <w:r>
        <w:rPr>
          <w:rFonts w:hint="default" w:ascii="Times New Roman" w:hAnsi="Times New Roman" w:eastAsia="仿宋" w:cs="Times New Roman"/>
          <w:snapToGrid w:val="0"/>
          <w:color w:val="000000"/>
          <w:kern w:val="0"/>
          <w:sz w:val="32"/>
          <w:szCs w:val="32"/>
          <w:lang w:val="en-US" w:eastAsia="zh-CN"/>
        </w:rPr>
        <w:t>指一个经济体的居民为另一个经济体的居民提供的海运服务、空运服务、铁路运输服务、公路运输服务、内陆水道运输、空间运输、管道运输服务、运输辅助服务以及邮政和寄递服务等。不包括在内的相关项目是运费保险、非居民承运人在港口购买的货物、铁路设施、港口和机场设施的修理以及出租或包租不带机组人员的运输工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b w:val="0"/>
          <w:bCs w:val="0"/>
          <w:snapToGrid w:val="0"/>
          <w:color w:val="000000"/>
          <w:kern w:val="0"/>
          <w:sz w:val="32"/>
          <w:szCs w:val="32"/>
          <w:lang w:val="en-US" w:eastAsia="zh-CN"/>
        </w:rPr>
        <w:t xml:space="preserve">2.旅行 </w:t>
      </w:r>
      <w:r>
        <w:rPr>
          <w:rFonts w:hint="default" w:ascii="Times New Roman" w:hAnsi="Times New Roman" w:eastAsia="仿宋" w:cs="Times New Roman"/>
          <w:snapToGrid w:val="0"/>
          <w:color w:val="000000"/>
          <w:kern w:val="0"/>
          <w:sz w:val="32"/>
          <w:szCs w:val="32"/>
          <w:lang w:val="en-US" w:eastAsia="zh-CN"/>
        </w:rPr>
        <w:t>指旅行者在其访问的经济体逗留期间从该经济体购买的货物和服务。包括旅游、留学、就医、境外务工等。旅行者的国际运费不包括在内。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b w:val="0"/>
          <w:bCs w:val="0"/>
          <w:snapToGrid w:val="0"/>
          <w:color w:val="000000"/>
          <w:kern w:val="0"/>
          <w:sz w:val="32"/>
          <w:szCs w:val="32"/>
          <w:lang w:val="en-US" w:eastAsia="zh-CN"/>
        </w:rPr>
        <w:t xml:space="preserve">3.建筑 </w:t>
      </w:r>
      <w:r>
        <w:rPr>
          <w:rFonts w:hint="default" w:ascii="Times New Roman" w:hAnsi="Times New Roman" w:eastAsia="仿宋" w:cs="Times New Roman"/>
          <w:snapToGrid w:val="0"/>
          <w:color w:val="000000"/>
          <w:kern w:val="0"/>
          <w:sz w:val="32"/>
          <w:szCs w:val="32"/>
          <w:lang w:val="en-US" w:eastAsia="zh-CN"/>
        </w:rPr>
        <w:t>指在建筑工程所在经济体未设立法人、分支机构及项目办公室由本经济体居民企业直接开展的建设活动。包括：以建筑物、工程性土地改良和其他此类工程建设，如道路、桥梁和水坝等为形式的固定资产的建立、翻修、维修或扩建；相关安装和装配工程；场地准备、油漆、测量和爆破等特殊服务；建设项目的管理；从建筑工程所在经济体或第三方经济体（即既非负责建设工程的企业的居住经济体，也非建筑工程所在的经济体）购买的货物和服务；从事劳务承包、合作的中国居民提供劳务输出获得的收入，以及中国居民接受非居民提供的劳务承包服务而支出的费用。建筑服务的出口额指中国的居民企业向非居民提供的建筑服务以及非居民企业在中国购买的货物和服务；进口额指非居民企业向中国的居民提供的建筑服务以及中国的居民企业在东道经济体购买的货物和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b w:val="0"/>
          <w:bCs w:val="0"/>
          <w:snapToGrid w:val="0"/>
          <w:color w:val="000000"/>
          <w:kern w:val="0"/>
          <w:sz w:val="32"/>
          <w:szCs w:val="32"/>
          <w:lang w:val="en-US" w:eastAsia="zh-CN"/>
        </w:rPr>
        <w:t xml:space="preserve">4.保险服务 </w:t>
      </w:r>
      <w:r>
        <w:rPr>
          <w:rFonts w:hint="default" w:ascii="Times New Roman" w:hAnsi="Times New Roman" w:eastAsia="仿宋" w:cs="Times New Roman"/>
          <w:snapToGrid w:val="0"/>
          <w:color w:val="000000"/>
          <w:kern w:val="0"/>
          <w:sz w:val="32"/>
          <w:szCs w:val="32"/>
          <w:lang w:val="en-US" w:eastAsia="zh-CN"/>
        </w:rPr>
        <w:t>包括人寿保险和年金、非人寿保险、再保险、标准化担保服务，以及保险、养老金计划和和标准化担保计划的辅助服务所涉及的保费、费用等。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b w:val="0"/>
          <w:bCs w:val="0"/>
          <w:snapToGrid w:val="0"/>
          <w:color w:val="000000"/>
          <w:kern w:val="0"/>
          <w:sz w:val="32"/>
          <w:szCs w:val="32"/>
          <w:lang w:val="en-US" w:eastAsia="zh-CN"/>
        </w:rPr>
        <w:t xml:space="preserve">5.金融服务 </w:t>
      </w:r>
      <w:r>
        <w:rPr>
          <w:rFonts w:hint="default" w:ascii="Times New Roman" w:hAnsi="Times New Roman" w:eastAsia="仿宋" w:cs="Times New Roman"/>
          <w:snapToGrid w:val="0"/>
          <w:color w:val="000000"/>
          <w:kern w:val="0"/>
          <w:sz w:val="32"/>
          <w:szCs w:val="32"/>
          <w:lang w:val="en-US" w:eastAsia="zh-CN"/>
        </w:rPr>
        <w:t>指保险和养老金服务之外的金融中介和辅助服务。通常包括由银行和其他金融公司提供的服务，如存款吸纳和贷款、信用证、信用卡、与金融租赁相关的佣金和费用、保理、承销、支付清算等服务。还包括金融咨询、金融资产或金条托管、金融资产管理及监控、流动资金提供、非保险类的风险承担、合并与收购、信用评级、证券交易和信托等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b w:val="0"/>
          <w:bCs w:val="0"/>
          <w:snapToGrid w:val="0"/>
          <w:color w:val="000000"/>
          <w:kern w:val="0"/>
          <w:sz w:val="32"/>
          <w:szCs w:val="32"/>
          <w:lang w:val="en-US" w:eastAsia="zh-CN"/>
        </w:rPr>
        <w:t xml:space="preserve">6.电信、计算机和信息服务 </w:t>
      </w:r>
      <w:r>
        <w:rPr>
          <w:rFonts w:hint="default" w:ascii="Times New Roman" w:hAnsi="Times New Roman" w:eastAsia="仿宋" w:cs="Times New Roman"/>
          <w:b/>
          <w:bCs/>
          <w:snapToGrid w:val="0"/>
          <w:color w:val="000000"/>
          <w:kern w:val="0"/>
          <w:sz w:val="32"/>
          <w:szCs w:val="32"/>
          <w:lang w:val="en-US" w:eastAsia="zh-CN"/>
        </w:rPr>
        <w:t>电信服务：</w:t>
      </w:r>
      <w:r>
        <w:rPr>
          <w:rFonts w:hint="default" w:ascii="Times New Roman" w:hAnsi="Times New Roman" w:eastAsia="仿宋" w:cs="Times New Roman"/>
          <w:snapToGrid w:val="0"/>
          <w:color w:val="000000"/>
          <w:kern w:val="0"/>
          <w:sz w:val="32"/>
          <w:szCs w:val="32"/>
          <w:lang w:val="en-US" w:eastAsia="zh-CN"/>
        </w:rPr>
        <w:t>指通过电话、电传、电报、无线广播、电视线缆、电视卫星、电子邮件、传真等广播或传送音频、图像、数据或其他信息。</w:t>
      </w:r>
      <w:r>
        <w:rPr>
          <w:rFonts w:hint="default" w:ascii="Times New Roman" w:hAnsi="Times New Roman" w:eastAsia="仿宋" w:cs="Times New Roman"/>
          <w:b/>
          <w:bCs/>
          <w:snapToGrid w:val="0"/>
          <w:color w:val="000000"/>
          <w:kern w:val="0"/>
          <w:sz w:val="32"/>
          <w:szCs w:val="32"/>
          <w:lang w:val="en-US" w:eastAsia="zh-CN"/>
        </w:rPr>
        <w:t>计算机服务：</w:t>
      </w:r>
      <w:r>
        <w:rPr>
          <w:rFonts w:hint="default" w:ascii="Times New Roman" w:hAnsi="Times New Roman" w:eastAsia="仿宋" w:cs="Times New Roman"/>
          <w:snapToGrid w:val="0"/>
          <w:color w:val="000000"/>
          <w:kern w:val="0"/>
          <w:sz w:val="32"/>
          <w:szCs w:val="32"/>
          <w:lang w:val="en-US" w:eastAsia="zh-CN"/>
        </w:rPr>
        <w:t>指与计算机有关的硬件和软件相关服务和数据处理服务。</w:t>
      </w:r>
      <w:r>
        <w:rPr>
          <w:rFonts w:hint="default" w:ascii="Times New Roman" w:hAnsi="Times New Roman" w:eastAsia="仿宋" w:cs="Times New Roman"/>
          <w:b/>
          <w:bCs/>
          <w:snapToGrid w:val="0"/>
          <w:color w:val="000000"/>
          <w:kern w:val="0"/>
          <w:sz w:val="32"/>
          <w:szCs w:val="32"/>
          <w:lang w:val="en-US" w:eastAsia="zh-CN"/>
        </w:rPr>
        <w:t>信息服务：</w:t>
      </w:r>
      <w:r>
        <w:rPr>
          <w:rFonts w:hint="default" w:ascii="Times New Roman" w:hAnsi="Times New Roman" w:eastAsia="仿宋" w:cs="Times New Roman"/>
          <w:snapToGrid w:val="0"/>
          <w:color w:val="000000"/>
          <w:kern w:val="0"/>
          <w:sz w:val="32"/>
          <w:szCs w:val="32"/>
          <w:lang w:val="en-US" w:eastAsia="zh-CN"/>
        </w:rPr>
        <w:t>包括通讯社服务，如向媒体提供新闻、照片和有关资料报道；数据库服务，如数据库构思、数据存储以及数据和数据库（包括目录和邮件列表）通过在线和磁性、光学或印刷介质进行的分发；网页搜索门户，即客户输入关键查询字段寻找互联网址的搜索引擎服务；非批量订购报纸、期刊和书籍及电子出版物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b w:val="0"/>
          <w:bCs w:val="0"/>
          <w:snapToGrid w:val="0"/>
          <w:color w:val="000000"/>
          <w:kern w:val="0"/>
          <w:sz w:val="32"/>
          <w:szCs w:val="32"/>
          <w:lang w:val="en-US" w:eastAsia="zh-CN"/>
        </w:rPr>
        <w:t xml:space="preserve">7.知识产权使用费 </w:t>
      </w:r>
      <w:r>
        <w:rPr>
          <w:rFonts w:hint="default" w:ascii="Times New Roman" w:hAnsi="Times New Roman" w:eastAsia="仿宋" w:cs="Times New Roman"/>
          <w:snapToGrid w:val="0"/>
          <w:color w:val="000000"/>
          <w:kern w:val="0"/>
          <w:sz w:val="32"/>
          <w:szCs w:val="32"/>
          <w:lang w:val="en-US" w:eastAsia="zh-CN"/>
        </w:rPr>
        <w:t>指其他未涵盖的知识产权使用费，包括特许和商标使用费、研发成果使用费、复制或分销计算机软件许可费、复制或分销视听及相关产品许可费和其他知识产权使用费。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b w:val="0"/>
          <w:bCs w:val="0"/>
          <w:snapToGrid w:val="0"/>
          <w:color w:val="000000"/>
          <w:kern w:val="0"/>
          <w:sz w:val="32"/>
          <w:szCs w:val="32"/>
          <w:lang w:val="en-US" w:eastAsia="zh-CN"/>
        </w:rPr>
        <w:t>8.个人、文化和娱乐服务</w:t>
      </w:r>
      <w:r>
        <w:rPr>
          <w:rFonts w:hint="default" w:ascii="Times New Roman" w:hAnsi="Times New Roman" w:eastAsia="仿宋" w:cs="Times New Roman"/>
          <w:snapToGrid w:val="0"/>
          <w:color w:val="000000"/>
          <w:kern w:val="0"/>
          <w:sz w:val="32"/>
          <w:szCs w:val="32"/>
          <w:lang w:val="en-US" w:eastAsia="zh-CN"/>
        </w:rPr>
        <w:t xml:space="preserve"> 指服务的接受者在本经济体内接受非居民所提供的个人、文化和娱乐服务。包括：在本经济体内接受非居民提供的远程个人文化娱乐服务；非居民前往本经济体提供个人文化娱乐服务。</w:t>
      </w:r>
      <w:r>
        <w:rPr>
          <w:rFonts w:hint="default" w:ascii="Times New Roman" w:hAnsi="Times New Roman" w:eastAsia="仿宋" w:cs="Times New Roman"/>
          <w:b/>
          <w:bCs/>
          <w:snapToGrid w:val="0"/>
          <w:color w:val="000000"/>
          <w:kern w:val="0"/>
          <w:sz w:val="32"/>
          <w:szCs w:val="32"/>
          <w:lang w:val="en-US" w:eastAsia="zh-CN"/>
        </w:rPr>
        <w:t>音像服务和相关服务：</w:t>
      </w:r>
      <w:r>
        <w:rPr>
          <w:rFonts w:hint="default" w:ascii="Times New Roman" w:hAnsi="Times New Roman" w:eastAsia="仿宋" w:cs="Times New Roman"/>
          <w:snapToGrid w:val="0"/>
          <w:color w:val="000000"/>
          <w:kern w:val="0"/>
          <w:sz w:val="32"/>
          <w:szCs w:val="32"/>
          <w:lang w:val="en-US" w:eastAsia="zh-CN"/>
        </w:rPr>
        <w:t>指与电影制作（胶片、录像带、磁盘上的电影或电子传输的电影等）、无线广播和电视节目制作（现场直播或磁带播放），以及音乐录音等相关的服务。包括∶视听和相关产品出租，如音像制品的租赁；加密电视频道收看使用费，如有线电视和卫星电视；涉及戏剧和音乐作品制作、体育活动、马戏团和其他类似活动的演员、导演和制片人的费用；下载的或以其他电子形式交付的，买断、卖断或供永久使用购入或销售的大批量制作录音制品和原稿。</w:t>
      </w:r>
      <w:r>
        <w:rPr>
          <w:rFonts w:hint="default" w:ascii="Times New Roman" w:hAnsi="Times New Roman" w:eastAsia="仿宋" w:cs="Times New Roman"/>
          <w:b/>
          <w:bCs/>
          <w:snapToGrid w:val="0"/>
          <w:color w:val="000000"/>
          <w:kern w:val="0"/>
          <w:sz w:val="32"/>
          <w:szCs w:val="32"/>
          <w:lang w:val="en-US" w:eastAsia="zh-CN"/>
        </w:rPr>
        <w:t>教育服务：</w:t>
      </w:r>
      <w:r>
        <w:rPr>
          <w:rFonts w:hint="default" w:ascii="Times New Roman" w:hAnsi="Times New Roman" w:eastAsia="仿宋" w:cs="Times New Roman"/>
          <w:snapToGrid w:val="0"/>
          <w:color w:val="000000"/>
          <w:kern w:val="0"/>
          <w:sz w:val="32"/>
          <w:szCs w:val="32"/>
          <w:lang w:val="en-US" w:eastAsia="zh-CN"/>
        </w:rPr>
        <w:t>包括与各教育阶段有关的服务，无论教学方式是函授课程，通过电视、卫星或网络授课，还是居民接受非居民前往居民所在经济体开展教育服务或非居民接受居民前往非居民所在经济体开展教育服务。在服务提供者所在领土内提供给非居民的教育服务不在此项下，应计人旅行项下留学。</w:t>
      </w:r>
      <w:r>
        <w:rPr>
          <w:rFonts w:hint="default" w:ascii="Times New Roman" w:hAnsi="Times New Roman" w:eastAsia="仿宋" w:cs="Times New Roman"/>
          <w:b/>
          <w:bCs/>
          <w:snapToGrid w:val="0"/>
          <w:color w:val="000000"/>
          <w:kern w:val="0"/>
          <w:sz w:val="32"/>
          <w:szCs w:val="32"/>
          <w:lang w:val="en-US" w:eastAsia="zh-CN"/>
        </w:rPr>
        <w:t>医疗服务：</w:t>
      </w:r>
      <w:r>
        <w:rPr>
          <w:rFonts w:hint="default" w:ascii="Times New Roman" w:hAnsi="Times New Roman" w:eastAsia="仿宋" w:cs="Times New Roman"/>
          <w:snapToGrid w:val="0"/>
          <w:color w:val="000000"/>
          <w:kern w:val="0"/>
          <w:sz w:val="32"/>
          <w:szCs w:val="32"/>
          <w:lang w:val="en-US" w:eastAsia="zh-CN"/>
        </w:rPr>
        <w:t>包括医疗、医院服务、其他人类健康服务和社会服务。在服务提供者所在领土内提供给非居民的医疗服务不在此项下，应计入旅行项下的就医。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eastAsia" w:ascii="黑体" w:hAnsi="黑体" w:eastAsia="黑体" w:cs="黑体"/>
          <w:snapToGrid w:val="0"/>
          <w:color w:val="000000"/>
          <w:kern w:val="0"/>
          <w:sz w:val="32"/>
          <w:szCs w:val="32"/>
          <w:lang w:val="en-US" w:eastAsia="zh-CN"/>
        </w:rPr>
        <w:t>9.维护和维修服务</w:t>
      </w:r>
      <w:r>
        <w:rPr>
          <w:rFonts w:hint="default" w:ascii="Times New Roman" w:hAnsi="Times New Roman" w:eastAsia="仿宋" w:cs="Times New Roman"/>
          <w:snapToGrid w:val="0"/>
          <w:color w:val="000000"/>
          <w:kern w:val="0"/>
          <w:sz w:val="32"/>
          <w:szCs w:val="32"/>
          <w:lang w:val="en-US" w:eastAsia="zh-CN"/>
        </w:rPr>
        <w:t xml:space="preserve"> 指常住者对于非常住者拥有的货物进行的保养和维修工作（或反之），维修可能在维修地点或其他地方进行。船舶、航空器和其他运输设备的保养和维修属于这个项目，运输设备的清洁则属于运输服务。建筑维修和保养属于建筑服务。计算机的保养和维修属于计算机服务。铁路运输设备修理不包括火车机车回厂修理和发动机修理活动；船舶修理不包括船舶回厂修复、发动机修理以及船舶拆除活动；航空航天器修理不包括航空航天器回厂修理和发动机修理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snapToGrid w:val="0"/>
          <w:color w:val="000000"/>
          <w:kern w:val="0"/>
          <w:sz w:val="32"/>
          <w:szCs w:val="32"/>
          <w:lang w:val="en-US" w:eastAsia="zh-CN"/>
        </w:rPr>
        <w:t xml:space="preserve">10.加工服务 </w:t>
      </w:r>
      <w:r>
        <w:rPr>
          <w:rFonts w:hint="default" w:ascii="Times New Roman" w:hAnsi="Times New Roman" w:eastAsia="仿宋" w:cs="Times New Roman"/>
          <w:snapToGrid w:val="0"/>
          <w:color w:val="000000"/>
          <w:kern w:val="0"/>
          <w:sz w:val="32"/>
          <w:szCs w:val="32"/>
          <w:lang w:val="en-US" w:eastAsia="zh-CN"/>
        </w:rPr>
        <w:t>指对他人拥有实物投入的制造服务，包括由不拥有相关货物的企业承担的加工、装配、贴标签和包装等服务。包括由来料加工或出料加工产生的工缴费收入及支出。来料加工指由外方提供全部或部分原材料、辅料、零部件、元器件、配套件和包装物料，必要时提供设备，由我方按对方的要求进行加工装配，成品交对方销售，我方收取工缴费。来料加工装配贸易也可采用各作各价对口合同的交易形式，即我方与外方同一客户同时签订进口和出口合同，由客户提供全部或部分原辅料（或由我方添配一部分国产原辅料），我方按要求加工，进口料件和出口成品各作各价。在成品返销原客户后，我方收取成品出口值与来料进口值之间的差价。出料加工指将境内原辅料、零部件、元器件或半成品交由境外厂商按我方要求进行加工或装配，成品复运进口，我方支付工缴费的交易形式。包括∶加工贸易所涉及境内购买的材料成本；带料加工工缴费支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snapToGrid w:val="0"/>
          <w:color w:val="000000"/>
          <w:kern w:val="0"/>
          <w:sz w:val="32"/>
          <w:szCs w:val="32"/>
          <w:lang w:val="en-US" w:eastAsia="zh-CN"/>
        </w:rPr>
        <w:t xml:space="preserve">11.其他商业服务 </w:t>
      </w:r>
      <w:r>
        <w:rPr>
          <w:rFonts w:hint="default" w:ascii="Times New Roman" w:hAnsi="Times New Roman" w:eastAsia="仿宋" w:cs="Times New Roman"/>
          <w:snapToGrid w:val="0"/>
          <w:color w:val="000000"/>
          <w:kern w:val="0"/>
          <w:sz w:val="32"/>
          <w:szCs w:val="32"/>
          <w:lang w:val="en-US" w:eastAsia="zh-CN"/>
        </w:rPr>
        <w:t>包括研发成果转让费及委托研发、专业和管理咨询服务、技术服务、营业租赁服务等别处未涵盖的服务贸易。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 w:cs="Times New Roman"/>
          <w:snapToGrid w:val="0"/>
          <w:color w:val="000000"/>
          <w:kern w:val="0"/>
          <w:sz w:val="32"/>
          <w:szCs w:val="32"/>
          <w:lang w:val="en-US" w:eastAsia="zh-CN"/>
        </w:rPr>
      </w:pPr>
      <w:r>
        <w:rPr>
          <w:rFonts w:hint="default" w:ascii="黑体" w:hAnsi="黑体" w:eastAsia="黑体" w:cs="黑体"/>
          <w:snapToGrid w:val="0"/>
          <w:color w:val="000000"/>
          <w:kern w:val="0"/>
          <w:sz w:val="32"/>
          <w:szCs w:val="32"/>
          <w:lang w:val="en-US" w:eastAsia="zh-CN"/>
        </w:rPr>
        <w:t xml:space="preserve">12.政府服务 </w:t>
      </w:r>
      <w:r>
        <w:rPr>
          <w:rFonts w:hint="default" w:ascii="Times New Roman" w:hAnsi="Times New Roman" w:eastAsia="仿宋" w:cs="Times New Roman"/>
          <w:snapToGrid w:val="0"/>
          <w:color w:val="000000"/>
          <w:kern w:val="0"/>
          <w:sz w:val="32"/>
          <w:szCs w:val="32"/>
          <w:lang w:val="en-US" w:eastAsia="zh-CN"/>
        </w:rPr>
        <w:t>包括由飞地提供（如大使馆、领事馆、军事基地和国际组织）或向飞地提供的货物和服务；外交官、使领馆工作人员和位于国外的军事人员及其家属从东道国经济体购买的货物和服务；由政府或向政府提供的未计入其他服务类别的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sz w:val="32"/>
          <w:szCs w:val="32"/>
          <w:lang w:val="en-US" w:eastAsia="zh-CN"/>
        </w:rPr>
      </w:pPr>
      <w:r>
        <w:rPr>
          <w:rFonts w:hint="default" w:ascii="黑体" w:hAnsi="黑体" w:eastAsia="黑体" w:cs="黑体"/>
          <w:snapToGrid w:val="0"/>
          <w:color w:val="000000"/>
          <w:kern w:val="0"/>
          <w:sz w:val="32"/>
          <w:szCs w:val="32"/>
          <w:lang w:val="en-US" w:eastAsia="zh-CN"/>
        </w:rPr>
        <w:t>13.离岸贸易相关服务</w:t>
      </w:r>
      <w:r>
        <w:rPr>
          <w:rFonts w:hint="default" w:ascii="Times New Roman" w:hAnsi="Times New Roman" w:eastAsia="仿宋" w:cs="Times New Roman"/>
          <w:snapToGrid w:val="0"/>
          <w:color w:val="000000"/>
          <w:kern w:val="0"/>
          <w:sz w:val="32"/>
          <w:szCs w:val="32"/>
          <w:lang w:val="en-US" w:eastAsia="zh-CN"/>
        </w:rPr>
        <w:t xml:space="preserve"> 涵盖在我国经营业务的机构（不包括其在我国境外的附属机构）所提供的转手商贸活动及与离岸有关的货物服务，两者的区别在于货物所有权归属。其中，转手商贸活动是指在我国境内经营业务的机构通过未进出我国关境的货物买卖赚取的毛利。转手商贸活动包括我国贸易商从境外卖家购入货物直接卖给我国以外卖家，以及我国贸易商将外发加工生产的货物直接从外地卖给我国以外卖家两种形式。在交易过程中，贸易商曾拥有交易货物的所有权。与离岸有关的货物服务是指我国境内经营业务的机构通过未进出我国关境的货物买卖赚取的佣金或服务费用。与离岸有关的货物服务包括</w:t>
      </w:r>
      <w:r>
        <w:rPr>
          <w:rFonts w:hint="eastAsia" w:ascii="Times New Roman" w:hAnsi="Times New Roman" w:eastAsia="仿宋" w:cs="Times New Roman"/>
          <w:snapToGrid w:val="0"/>
          <w:color w:val="000000"/>
          <w:kern w:val="0"/>
          <w:sz w:val="32"/>
          <w:szCs w:val="32"/>
          <w:lang w:val="en-US" w:eastAsia="zh-CN"/>
        </w:rPr>
        <w:t>：</w:t>
      </w:r>
      <w:r>
        <w:rPr>
          <w:rFonts w:hint="default" w:ascii="Times New Roman" w:hAnsi="Times New Roman" w:eastAsia="仿宋" w:cs="Times New Roman"/>
          <w:snapToGrid w:val="0"/>
          <w:color w:val="000000"/>
          <w:kern w:val="0"/>
          <w:sz w:val="32"/>
          <w:szCs w:val="32"/>
          <w:lang w:val="en-US" w:eastAsia="zh-CN"/>
        </w:rPr>
        <w:t>寻找货源；市场推广；商讨合约及价格；搜集货物样本及足够的货量；装运、检查及安排订购事宜等服务。在交易过程中，贸易商并不具有所涉及货物的所有权。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1022A1"/>
    <w:rsid w:val="721022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snapToGrid w:val="0"/>
      <w:kern w:val="0"/>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Title"/>
    <w:basedOn w:val="1"/>
    <w:next w:val="1"/>
    <w:qFormat/>
    <w:uiPriority w:val="10"/>
    <w:pPr>
      <w:snapToGrid w:val="0"/>
      <w:spacing w:line="500" w:lineRule="exact"/>
      <w:ind w:firstLine="0" w:firstLineChars="0"/>
      <w:jc w:val="center"/>
    </w:pPr>
    <w:rPr>
      <w:rFonts w:ascii="仿宋_GB2312" w:hAnsi="仿宋_GB2312" w:eastAsia="方正小标宋简体" w:cs="仿宋_GB2312"/>
      <w:bCs/>
      <w:sz w:val="44"/>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2024-04-03T08:25:00Z</dcterms:created>
  <dc:creator>杨晨</dc:creator>
  <cp:lastModifiedBy>杨晨</cp:lastModifiedBy>
  <dcterms:modified xsi:type="dcterms:W3CDTF">2024-04-03T08:26:07Z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